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D4B4B" w14:textId="1898CA22" w:rsidR="009D2E1A" w:rsidRPr="007849F1" w:rsidRDefault="009D2E1A" w:rsidP="00B478D2">
      <w:pPr>
        <w:spacing w:before="360" w:after="360" w:line="240" w:lineRule="auto"/>
        <w:jc w:val="center"/>
        <w:rPr>
          <w:rFonts w:asciiTheme="minorBidi" w:hAnsiTheme="minorBidi"/>
          <w:b/>
          <w:bCs/>
          <w:sz w:val="40"/>
          <w:szCs w:val="40"/>
        </w:rPr>
      </w:pPr>
      <w:r w:rsidRPr="009D2E1A">
        <w:rPr>
          <w:rFonts w:asciiTheme="minorBidi" w:hAnsiTheme="minorBidi"/>
          <w:b/>
          <w:bCs/>
          <w:sz w:val="40"/>
          <w:szCs w:val="40"/>
        </w:rPr>
        <w:t>Dow and SCGC sign MOU for a first-of-its kind partnership to transform 200KTA of plastic waste into circular products</w:t>
      </w:r>
    </w:p>
    <w:p w14:paraId="2A59A375" w14:textId="03B42459" w:rsidR="00981824" w:rsidRPr="007849F1" w:rsidRDefault="00981824" w:rsidP="00981824">
      <w:pPr>
        <w:pStyle w:val="LetterBody"/>
        <w:numPr>
          <w:ilvl w:val="0"/>
          <w:numId w:val="1"/>
        </w:numPr>
        <w:spacing w:line="240" w:lineRule="auto"/>
        <w:rPr>
          <w:rFonts w:asciiTheme="minorBidi" w:hAnsiTheme="minorBidi"/>
          <w:i/>
          <w:sz w:val="32"/>
          <w:szCs w:val="32"/>
        </w:rPr>
      </w:pPr>
      <w:r w:rsidRPr="007849F1">
        <w:rPr>
          <w:rFonts w:asciiTheme="minorBidi" w:hAnsiTheme="minorBidi"/>
          <w:i/>
          <w:sz w:val="32"/>
          <w:szCs w:val="32"/>
        </w:rPr>
        <w:t xml:space="preserve">First in the Asia Pacific market to seek a holistic value chain solution for circular plastic. </w:t>
      </w:r>
    </w:p>
    <w:p w14:paraId="03A352C7" w14:textId="5813BE5F" w:rsidR="009D2E1A" w:rsidRPr="008E6772" w:rsidRDefault="003717F3" w:rsidP="00CE5C13">
      <w:pPr>
        <w:pStyle w:val="ListParagraph"/>
        <w:numPr>
          <w:ilvl w:val="0"/>
          <w:numId w:val="1"/>
        </w:numPr>
        <w:spacing w:line="240" w:lineRule="auto"/>
        <w:rPr>
          <w:rFonts w:asciiTheme="minorBidi" w:hAnsiTheme="minorBidi"/>
          <w:sz w:val="32"/>
          <w:szCs w:val="32"/>
        </w:rPr>
      </w:pPr>
      <w:r w:rsidRPr="008E6772">
        <w:rPr>
          <w:rFonts w:asciiTheme="minorBidi" w:eastAsiaTheme="minorEastAsia" w:hAnsiTheme="minorBidi"/>
          <w:i/>
          <w:kern w:val="0"/>
          <w:sz w:val="32"/>
          <w:szCs w:val="32"/>
          <w:lang w:bidi="ar-SA"/>
          <w14:ligatures w14:val="none"/>
        </w:rPr>
        <w:t>200KTA of plastic waste will be processed through both advanced and mechanical recycling by 2030.</w:t>
      </w:r>
    </w:p>
    <w:p w14:paraId="4BE085B6" w14:textId="4ACBB31E" w:rsidR="00981824" w:rsidRPr="008E6772" w:rsidRDefault="003717F3" w:rsidP="008E6772">
      <w:pPr>
        <w:pStyle w:val="ListParagraph"/>
        <w:numPr>
          <w:ilvl w:val="0"/>
          <w:numId w:val="1"/>
        </w:numPr>
        <w:spacing w:line="240" w:lineRule="auto"/>
        <w:rPr>
          <w:rFonts w:asciiTheme="minorBidi" w:hAnsiTheme="minorBidi"/>
          <w:sz w:val="32"/>
          <w:szCs w:val="32"/>
        </w:rPr>
      </w:pPr>
      <w:r w:rsidRPr="008E6772">
        <w:rPr>
          <w:rFonts w:asciiTheme="minorBidi" w:hAnsiTheme="minorBidi"/>
          <w:i/>
          <w:sz w:val="32"/>
          <w:szCs w:val="32"/>
        </w:rPr>
        <w:t>Partnership e</w:t>
      </w:r>
      <w:r w:rsidR="00981824" w:rsidRPr="008E6772">
        <w:rPr>
          <w:rFonts w:asciiTheme="minorBidi" w:hAnsiTheme="minorBidi"/>
          <w:i/>
          <w:sz w:val="32"/>
          <w:szCs w:val="32"/>
        </w:rPr>
        <w:t>xpands 37-year long successful JV in Thailand to enable circular solutions in the region.</w:t>
      </w:r>
    </w:p>
    <w:p w14:paraId="32E465A0" w14:textId="77777777" w:rsidR="009D2E1A" w:rsidRPr="007849F1" w:rsidRDefault="009D2E1A" w:rsidP="008E6772">
      <w:pPr>
        <w:pStyle w:val="LetterBody"/>
        <w:spacing w:line="240" w:lineRule="auto"/>
        <w:ind w:left="360"/>
        <w:rPr>
          <w:rFonts w:asciiTheme="minorBidi" w:hAnsiTheme="minorBidi"/>
          <w:sz w:val="32"/>
          <w:szCs w:val="32"/>
        </w:rPr>
      </w:pPr>
    </w:p>
    <w:p w14:paraId="6CCAE544" w14:textId="3C89E80A" w:rsidR="00981824" w:rsidRPr="005028C2" w:rsidRDefault="00981824" w:rsidP="005028C2">
      <w:pPr>
        <w:ind w:firstLine="720"/>
        <w:jc w:val="both"/>
        <w:rPr>
          <w:rFonts w:asciiTheme="minorBidi" w:hAnsiTheme="minorBidi"/>
          <w:sz w:val="32"/>
          <w:szCs w:val="32"/>
        </w:rPr>
      </w:pPr>
      <w:r w:rsidRPr="007849F1">
        <w:rPr>
          <w:rFonts w:asciiTheme="minorBidi" w:hAnsiTheme="minorBidi"/>
          <w:b/>
          <w:bCs/>
          <w:sz w:val="32"/>
          <w:szCs w:val="32"/>
        </w:rPr>
        <w:t xml:space="preserve">BANGKOK – </w:t>
      </w:r>
      <w:r w:rsidR="00F50461">
        <w:rPr>
          <w:rFonts w:asciiTheme="minorBidi" w:hAnsiTheme="minorBidi"/>
          <w:b/>
          <w:bCs/>
          <w:sz w:val="32"/>
          <w:szCs w:val="32"/>
        </w:rPr>
        <w:t>May</w:t>
      </w:r>
      <w:r w:rsidR="00F50461" w:rsidRPr="007849F1">
        <w:rPr>
          <w:rFonts w:asciiTheme="minorBidi" w:hAnsiTheme="minorBidi"/>
          <w:b/>
          <w:bCs/>
          <w:sz w:val="32"/>
          <w:szCs w:val="32"/>
        </w:rPr>
        <w:t xml:space="preserve"> </w:t>
      </w:r>
      <w:r w:rsidR="003E69C1">
        <w:rPr>
          <w:rFonts w:asciiTheme="minorBidi" w:hAnsiTheme="minorBidi"/>
          <w:b/>
          <w:bCs/>
          <w:sz w:val="32"/>
          <w:szCs w:val="32"/>
        </w:rPr>
        <w:t>17</w:t>
      </w:r>
      <w:r w:rsidRPr="007849F1">
        <w:rPr>
          <w:rFonts w:asciiTheme="minorBidi" w:hAnsiTheme="minorBidi"/>
          <w:b/>
          <w:bCs/>
          <w:sz w:val="32"/>
          <w:szCs w:val="32"/>
        </w:rPr>
        <w:t>, 2024 –</w:t>
      </w:r>
      <w:r w:rsidRPr="007849F1">
        <w:rPr>
          <w:rFonts w:asciiTheme="minorBidi" w:hAnsiTheme="minorBidi"/>
          <w:sz w:val="32"/>
          <w:szCs w:val="32"/>
        </w:rPr>
        <w:t xml:space="preserve"> </w:t>
      </w:r>
      <w:hyperlink r:id="rId8">
        <w:r w:rsidRPr="007849F1">
          <w:rPr>
            <w:rFonts w:asciiTheme="minorBidi" w:hAnsiTheme="minorBidi"/>
            <w:sz w:val="32"/>
            <w:szCs w:val="32"/>
          </w:rPr>
          <w:t>Dow</w:t>
        </w:r>
      </w:hyperlink>
      <w:r w:rsidRPr="007849F1">
        <w:rPr>
          <w:rFonts w:asciiTheme="minorBidi" w:hAnsiTheme="minorBidi"/>
          <w:sz w:val="32"/>
          <w:szCs w:val="32"/>
        </w:rPr>
        <w:t xml:space="preserve"> (NYSE: DOW) and SCG Chemicals</w:t>
      </w:r>
      <w:r w:rsidRPr="007849F1">
        <w:rPr>
          <w:rStyle w:val="Hyperlink"/>
          <w:rFonts w:asciiTheme="minorBidi" w:hAnsiTheme="minorBidi"/>
          <w:color w:val="auto"/>
          <w:sz w:val="32"/>
          <w:szCs w:val="32"/>
          <w:u w:val="none"/>
        </w:rPr>
        <w:t xml:space="preserve"> or</w:t>
      </w:r>
      <w:r w:rsidRPr="007849F1">
        <w:rPr>
          <w:rFonts w:asciiTheme="minorBidi" w:hAnsiTheme="minorBidi"/>
          <w:sz w:val="32"/>
          <w:szCs w:val="32"/>
        </w:rPr>
        <w:t xml:space="preserve"> SCGC, today announced the signing of a first-of-its kind memorandum of understanding (MOU) circularity partnership in the Asia Pacific region to </w:t>
      </w:r>
      <w:r w:rsidR="003717F3" w:rsidRPr="007849F1">
        <w:rPr>
          <w:rFonts w:asciiTheme="minorBidi" w:hAnsiTheme="minorBidi"/>
          <w:sz w:val="32"/>
          <w:szCs w:val="32"/>
        </w:rPr>
        <w:t xml:space="preserve">transform 200KTA of plastic waste into circular products by </w:t>
      </w:r>
      <w:r w:rsidR="003717F3" w:rsidRPr="005028C2">
        <w:rPr>
          <w:rFonts w:asciiTheme="minorBidi" w:hAnsiTheme="minorBidi"/>
          <w:sz w:val="32"/>
          <w:szCs w:val="32"/>
        </w:rPr>
        <w:t>2030</w:t>
      </w:r>
      <w:r w:rsidRPr="005028C2">
        <w:rPr>
          <w:rFonts w:asciiTheme="minorBidi" w:hAnsiTheme="minorBidi"/>
          <w:sz w:val="32"/>
          <w:szCs w:val="32"/>
        </w:rPr>
        <w:t xml:space="preserve">. </w:t>
      </w:r>
    </w:p>
    <w:p w14:paraId="74575BD2" w14:textId="3319A384" w:rsidR="00981824" w:rsidRPr="007849F1" w:rsidRDefault="00981824" w:rsidP="005028C2">
      <w:pPr>
        <w:ind w:firstLine="720"/>
        <w:jc w:val="both"/>
        <w:rPr>
          <w:rFonts w:asciiTheme="minorBidi" w:hAnsiTheme="minorBidi"/>
          <w:sz w:val="32"/>
          <w:szCs w:val="32"/>
        </w:rPr>
      </w:pPr>
      <w:r w:rsidRPr="005028C2">
        <w:rPr>
          <w:rFonts w:asciiTheme="minorBidi" w:hAnsiTheme="minorBidi"/>
          <w:sz w:val="32"/>
          <w:szCs w:val="32"/>
        </w:rPr>
        <w:t>The partners</w:t>
      </w:r>
      <w:r w:rsidR="003717F3" w:rsidRPr="007849F1">
        <w:rPr>
          <w:rFonts w:asciiTheme="minorBidi" w:hAnsiTheme="minorBidi"/>
          <w:sz w:val="32"/>
          <w:szCs w:val="32"/>
        </w:rPr>
        <w:t xml:space="preserve"> intend</w:t>
      </w:r>
      <w:r w:rsidRPr="007849F1">
        <w:rPr>
          <w:rFonts w:asciiTheme="minorBidi" w:hAnsiTheme="minorBidi"/>
          <w:sz w:val="32"/>
          <w:szCs w:val="32"/>
        </w:rPr>
        <w:t xml:space="preserve"> to accelerate technology development in the value chain</w:t>
      </w:r>
      <w:r w:rsidR="003717F3" w:rsidRPr="007849F1">
        <w:rPr>
          <w:rFonts w:asciiTheme="minorBidi" w:hAnsiTheme="minorBidi"/>
          <w:sz w:val="32"/>
          <w:szCs w:val="32"/>
        </w:rPr>
        <w:t xml:space="preserve"> to enable recycling through </w:t>
      </w:r>
      <w:r w:rsidRPr="007849F1">
        <w:rPr>
          <w:rFonts w:asciiTheme="minorBidi" w:hAnsiTheme="minorBidi"/>
          <w:sz w:val="32"/>
          <w:szCs w:val="32"/>
        </w:rPr>
        <w:t>both mechanical recycling (MR) and advanced recycling (AR)</w:t>
      </w:r>
      <w:r w:rsidR="003717F3" w:rsidRPr="007849F1">
        <w:rPr>
          <w:rFonts w:asciiTheme="minorBidi" w:hAnsiTheme="minorBidi"/>
          <w:sz w:val="32"/>
          <w:szCs w:val="32"/>
        </w:rPr>
        <w:t xml:space="preserve"> and convert </w:t>
      </w:r>
      <w:r w:rsidRPr="007849F1">
        <w:rPr>
          <w:rFonts w:asciiTheme="minorBidi" w:hAnsiTheme="minorBidi"/>
          <w:sz w:val="32"/>
          <w:szCs w:val="32"/>
        </w:rPr>
        <w:t>a broad</w:t>
      </w:r>
      <w:r w:rsidR="003717F3" w:rsidRPr="007849F1">
        <w:rPr>
          <w:rFonts w:asciiTheme="minorBidi" w:hAnsiTheme="minorBidi"/>
          <w:sz w:val="32"/>
          <w:szCs w:val="32"/>
        </w:rPr>
        <w:t>er</w:t>
      </w:r>
      <w:r w:rsidRPr="007849F1">
        <w:rPr>
          <w:rFonts w:asciiTheme="minorBidi" w:hAnsiTheme="minorBidi"/>
          <w:sz w:val="32"/>
          <w:szCs w:val="32"/>
        </w:rPr>
        <w:t xml:space="preserve"> range of plastic waste into high-value applications. </w:t>
      </w:r>
    </w:p>
    <w:p w14:paraId="0C4D3D36" w14:textId="77777777" w:rsidR="00B87940" w:rsidRDefault="009D2E1A" w:rsidP="005028C2">
      <w:pPr>
        <w:ind w:firstLine="720"/>
        <w:jc w:val="both"/>
        <w:rPr>
          <w:rFonts w:asciiTheme="minorBidi" w:eastAsiaTheme="minorEastAsia" w:hAnsiTheme="minorBidi"/>
          <w:kern w:val="0"/>
          <w:sz w:val="32"/>
          <w:szCs w:val="32"/>
          <w:lang w:bidi="ar-SA"/>
          <w14:ligatures w14:val="none"/>
        </w:rPr>
      </w:pPr>
      <w:r w:rsidRPr="005028C2">
        <w:rPr>
          <w:rFonts w:asciiTheme="minorBidi" w:hAnsiTheme="minorBidi"/>
          <w:sz w:val="32"/>
          <w:szCs w:val="32"/>
        </w:rPr>
        <w:t>The initial phases are expected to</w:t>
      </w:r>
      <w:r w:rsidRPr="009D2E1A">
        <w:rPr>
          <w:rFonts w:asciiTheme="minorBidi" w:eastAsiaTheme="minorEastAsia" w:hAnsiTheme="minorBidi"/>
          <w:kern w:val="0"/>
          <w:sz w:val="32"/>
          <w:szCs w:val="32"/>
          <w:lang w:bidi="ar-SA"/>
          <w14:ligatures w14:val="none"/>
        </w:rPr>
        <w:t xml:space="preserve"> include establishing a value growth partnership for post-consumer recycled materials (PCR) with current suppliers, and developing technology solutions in waste sorting, MR and AR in Thailand. The phases aim to build a robust materials ecosystem in South-east Asia. This ecosystem will ultimately enable better plastic waste collection, recycling and management, and accelerate plastic circularity. </w:t>
      </w:r>
    </w:p>
    <w:p w14:paraId="088C014B" w14:textId="481C9A03" w:rsidR="009D2E1A" w:rsidRPr="008E6772" w:rsidRDefault="009D2E1A" w:rsidP="005028C2">
      <w:pPr>
        <w:ind w:firstLine="720"/>
        <w:jc w:val="both"/>
        <w:rPr>
          <w:rFonts w:asciiTheme="minorBidi" w:hAnsiTheme="minorBidi"/>
          <w:sz w:val="32"/>
          <w:szCs w:val="32"/>
        </w:rPr>
      </w:pPr>
      <w:r w:rsidRPr="008E6772">
        <w:rPr>
          <w:rFonts w:asciiTheme="minorBidi" w:hAnsiTheme="minorBidi"/>
          <w:sz w:val="32"/>
          <w:szCs w:val="32"/>
        </w:rPr>
        <w:t xml:space="preserve">The parties anticipate that subsequent phases of the partnership will include sourcing of plastic waste feedstocks in South-east Asia including potential expansion into other parts of the region including China, Korea, Japan, Taiwan, Australia, and New Zealand. </w:t>
      </w:r>
    </w:p>
    <w:p w14:paraId="5931D7D4" w14:textId="5BF66A44" w:rsidR="009D2E1A" w:rsidRPr="005028C2" w:rsidRDefault="009D2E1A" w:rsidP="005028C2">
      <w:pPr>
        <w:ind w:firstLine="720"/>
        <w:jc w:val="both"/>
        <w:rPr>
          <w:rFonts w:asciiTheme="minorBidi" w:hAnsiTheme="minorBidi"/>
          <w:sz w:val="32"/>
          <w:szCs w:val="32"/>
          <w:shd w:val="clear" w:color="auto" w:fill="FFFFFF"/>
        </w:rPr>
      </w:pPr>
      <w:r w:rsidRPr="009D2E1A">
        <w:rPr>
          <w:rFonts w:asciiTheme="minorBidi" w:hAnsiTheme="minorBidi"/>
          <w:sz w:val="32"/>
          <w:szCs w:val="32"/>
        </w:rPr>
        <w:lastRenderedPageBreak/>
        <w:t xml:space="preserve">“Asia has one of the largest sources of convertible plastic waste.  We want to disrupt how the region currently handles waste and structure a new model that values, sources, and transforms plastic waste. Our partnership with SCGC will enable both companies to be key players in enabling greater circularity in the region by leveraging our complementary portfolio, research and development capabilities, and technology licensing,” said </w:t>
      </w:r>
      <w:r w:rsidRPr="008E6772">
        <w:rPr>
          <w:rFonts w:asciiTheme="minorBidi" w:hAnsiTheme="minorBidi"/>
          <w:b/>
          <w:bCs/>
          <w:sz w:val="32"/>
          <w:szCs w:val="32"/>
        </w:rPr>
        <w:t>Bambang Candra</w:t>
      </w:r>
      <w:r w:rsidRPr="009D2E1A">
        <w:rPr>
          <w:rFonts w:asciiTheme="minorBidi" w:hAnsiTheme="minorBidi"/>
          <w:sz w:val="32"/>
          <w:szCs w:val="32"/>
        </w:rPr>
        <w:t xml:space="preserve">, APAC commercial vice president, Packaging &amp; Specialty Plastics, Dow. “Combined with our existing technical expertise in producing high-performance resins, our customers will also find value in the optimization of total cost in use, availability and quality of plastic </w:t>
      </w:r>
      <w:r w:rsidRPr="005028C2">
        <w:rPr>
          <w:rFonts w:asciiTheme="minorBidi" w:hAnsiTheme="minorBidi"/>
          <w:sz w:val="32"/>
          <w:szCs w:val="32"/>
          <w:shd w:val="clear" w:color="auto" w:fill="FFFFFF"/>
        </w:rPr>
        <w:t>waste across the materials ecosystem.”</w:t>
      </w:r>
      <w:r w:rsidRPr="005028C2" w:rsidDel="009D2E1A">
        <w:rPr>
          <w:rFonts w:asciiTheme="minorBidi" w:hAnsiTheme="minorBidi"/>
          <w:sz w:val="32"/>
          <w:szCs w:val="32"/>
          <w:shd w:val="clear" w:color="auto" w:fill="FFFFFF"/>
        </w:rPr>
        <w:t xml:space="preserve"> </w:t>
      </w:r>
    </w:p>
    <w:p w14:paraId="2B32BBEA" w14:textId="77777777" w:rsidR="00D92AE7" w:rsidRDefault="009D2E1A" w:rsidP="00D92AE7">
      <w:pPr>
        <w:ind w:firstLine="720"/>
        <w:jc w:val="both"/>
        <w:rPr>
          <w:rFonts w:asciiTheme="minorBidi" w:hAnsiTheme="minorBidi"/>
          <w:sz w:val="32"/>
          <w:szCs w:val="32"/>
          <w:shd w:val="clear" w:color="auto" w:fill="FFFFFF"/>
        </w:rPr>
      </w:pPr>
      <w:r w:rsidRPr="009D2E1A">
        <w:rPr>
          <w:rFonts w:asciiTheme="minorBidi" w:hAnsiTheme="minorBidi"/>
          <w:sz w:val="32"/>
          <w:szCs w:val="32"/>
          <w:shd w:val="clear" w:color="auto" w:fill="FFFFFF"/>
        </w:rPr>
        <w:t xml:space="preserve">“This collaboration between SCGC and Dow marks a significant milestone where two leading organizations in sustainable plastics will join forces to drive and elevate the circular plastic ecosystem in the Asia Pacific region efficiently throughout the value chain,” said </w:t>
      </w:r>
      <w:r w:rsidRPr="008E6772">
        <w:rPr>
          <w:rFonts w:asciiTheme="minorBidi" w:hAnsiTheme="minorBidi"/>
          <w:b/>
          <w:bCs/>
          <w:sz w:val="32"/>
          <w:szCs w:val="32"/>
          <w:shd w:val="clear" w:color="auto" w:fill="FFFFFF"/>
        </w:rPr>
        <w:t>Sakchai Patiparnpreechavud</w:t>
      </w:r>
      <w:r w:rsidRPr="009D2E1A">
        <w:rPr>
          <w:rFonts w:asciiTheme="minorBidi" w:hAnsiTheme="minorBidi"/>
          <w:sz w:val="32"/>
          <w:szCs w:val="32"/>
          <w:shd w:val="clear" w:color="auto" w:fill="FFFFFF"/>
        </w:rPr>
        <w:t xml:space="preserve">, chief executive officer and president of SCGC. “SCGC is ready to leverage its expertise in green polymer and compound technology to enhance the performance of plastic resins. This initiative aims to restore the value to used plastics according to circular economy principles through mechanical recycling and advanced recycling processes while maintaining properties that satisfy customers’ needs. This will enhance business potential and support the growing demand for high-quality PCR in the global market, from packaging to electrical appliances, reflecting SCGC's Low Waste, Low Carbon approach concretely.” </w:t>
      </w:r>
    </w:p>
    <w:p w14:paraId="085250BE" w14:textId="52F20EE8" w:rsidR="009D2E1A" w:rsidRPr="007849F1" w:rsidRDefault="009D2E1A" w:rsidP="00D92AE7">
      <w:pPr>
        <w:ind w:firstLine="720"/>
        <w:jc w:val="both"/>
        <w:rPr>
          <w:rFonts w:asciiTheme="minorBidi" w:hAnsiTheme="minorBidi"/>
          <w:sz w:val="32"/>
          <w:szCs w:val="32"/>
          <w:shd w:val="clear" w:color="auto" w:fill="FFFFFF"/>
        </w:rPr>
      </w:pPr>
      <w:r w:rsidRPr="009D2E1A">
        <w:rPr>
          <w:rFonts w:asciiTheme="minorBidi" w:eastAsiaTheme="minorEastAsia" w:hAnsiTheme="minorBidi"/>
          <w:kern w:val="0"/>
          <w:sz w:val="32"/>
          <w:szCs w:val="32"/>
          <w:shd w:val="clear" w:color="auto" w:fill="FFFFFF"/>
          <w:lang w:bidi="ar-SA"/>
          <w14:ligatures w14:val="none"/>
        </w:rPr>
        <w:t xml:space="preserve">“Dow Thailand is proud to begin a new chapter in our 57-year journey in the country with a groundbreaking circular economy partnership alongside our trusted partner, SCGC. Our 37 years of shared commitment to excellence and sustainability make SCGC the ideal partner to explore the new joint business opportunities, and together, we aim to further enhance the value we deliver to our customers and contribute to a sustainable future for the region,” added </w:t>
      </w:r>
      <w:r w:rsidRPr="008E6772">
        <w:rPr>
          <w:rFonts w:asciiTheme="minorBidi" w:eastAsiaTheme="minorEastAsia" w:hAnsiTheme="minorBidi"/>
          <w:b/>
          <w:bCs/>
          <w:kern w:val="0"/>
          <w:sz w:val="32"/>
          <w:szCs w:val="32"/>
          <w:shd w:val="clear" w:color="auto" w:fill="FFFFFF"/>
          <w:lang w:bidi="ar-SA"/>
          <w14:ligatures w14:val="none"/>
        </w:rPr>
        <w:t xml:space="preserve">Chatchai </w:t>
      </w:r>
      <w:proofErr w:type="spellStart"/>
      <w:r w:rsidRPr="008E6772">
        <w:rPr>
          <w:rFonts w:asciiTheme="minorBidi" w:eastAsiaTheme="minorEastAsia" w:hAnsiTheme="minorBidi"/>
          <w:b/>
          <w:bCs/>
          <w:kern w:val="0"/>
          <w:sz w:val="32"/>
          <w:szCs w:val="32"/>
          <w:shd w:val="clear" w:color="auto" w:fill="FFFFFF"/>
          <w:lang w:bidi="ar-SA"/>
          <w14:ligatures w14:val="none"/>
        </w:rPr>
        <w:t>Luanpolcharoenchai</w:t>
      </w:r>
      <w:proofErr w:type="spellEnd"/>
      <w:r w:rsidRPr="009D2E1A">
        <w:rPr>
          <w:rFonts w:asciiTheme="minorBidi" w:eastAsiaTheme="minorEastAsia" w:hAnsiTheme="minorBidi"/>
          <w:kern w:val="0"/>
          <w:sz w:val="32"/>
          <w:szCs w:val="32"/>
          <w:shd w:val="clear" w:color="auto" w:fill="FFFFFF"/>
          <w:lang w:bidi="ar-SA"/>
          <w14:ligatures w14:val="none"/>
        </w:rPr>
        <w:t>, Dow Thailand president.</w:t>
      </w:r>
      <w:r w:rsidRPr="009D2E1A" w:rsidDel="009D2E1A">
        <w:rPr>
          <w:rFonts w:asciiTheme="minorBidi" w:eastAsiaTheme="minorEastAsia" w:hAnsiTheme="minorBidi"/>
          <w:kern w:val="0"/>
          <w:sz w:val="32"/>
          <w:szCs w:val="32"/>
          <w:shd w:val="clear" w:color="auto" w:fill="FFFFFF"/>
          <w:lang w:bidi="ar-SA"/>
          <w14:ligatures w14:val="none"/>
        </w:rPr>
        <w:t xml:space="preserve"> </w:t>
      </w:r>
    </w:p>
    <w:p w14:paraId="56709963" w14:textId="2A729C42" w:rsidR="009D2E1A" w:rsidRDefault="009D2E1A" w:rsidP="009D2E1A">
      <w:pPr>
        <w:pStyle w:val="LetterBody"/>
        <w:spacing w:after="200" w:line="276" w:lineRule="auto"/>
        <w:ind w:firstLine="720"/>
        <w:jc w:val="both"/>
        <w:rPr>
          <w:rFonts w:asciiTheme="minorBidi" w:hAnsiTheme="minorBidi"/>
          <w:sz w:val="32"/>
          <w:szCs w:val="32"/>
        </w:rPr>
      </w:pPr>
      <w:bookmarkStart w:id="0" w:name="_Hlk160718719"/>
      <w:r w:rsidRPr="009D2E1A">
        <w:rPr>
          <w:rFonts w:asciiTheme="minorBidi" w:hAnsiTheme="minorBidi"/>
          <w:sz w:val="32"/>
          <w:szCs w:val="32"/>
          <w:shd w:val="clear" w:color="auto" w:fill="FFFFFF"/>
        </w:rPr>
        <w:t xml:space="preserve">The partnership supports Dow’s “Transform the Waste” target which aims to transform plastic waste and other forms of alternative feedstock to commercialize 3 million metric tons of circular and </w:t>
      </w:r>
      <w:r w:rsidRPr="009D2E1A">
        <w:rPr>
          <w:rFonts w:asciiTheme="minorBidi" w:hAnsiTheme="minorBidi"/>
          <w:sz w:val="32"/>
          <w:szCs w:val="32"/>
          <w:shd w:val="clear" w:color="auto" w:fill="FFFFFF"/>
        </w:rPr>
        <w:lastRenderedPageBreak/>
        <w:t xml:space="preserve">renewable solutions annually by 2030. The partnership also addresses SCGC’s sustainability goals under the “Low Waste, Low Carbon” initiative, striving for carbon neutrality by 2050. SCGC is also reducing greenhouse gas emissions by 20% and expanding its production capacity for its green polymer portfolio with a sales target of 1 million tons per year by 2030. </w:t>
      </w:r>
      <w:bookmarkEnd w:id="0"/>
    </w:p>
    <w:p w14:paraId="45BC7D58" w14:textId="0EB1CF76" w:rsidR="00222B24" w:rsidRPr="007849F1" w:rsidRDefault="00222B24" w:rsidP="008E6772">
      <w:pPr>
        <w:pStyle w:val="LetterBody"/>
        <w:spacing w:after="200" w:line="276" w:lineRule="auto"/>
        <w:jc w:val="center"/>
        <w:rPr>
          <w:rFonts w:asciiTheme="minorBidi" w:hAnsiTheme="minorBidi"/>
          <w:sz w:val="32"/>
          <w:szCs w:val="32"/>
        </w:rPr>
      </w:pPr>
      <w:r w:rsidRPr="007849F1">
        <w:rPr>
          <w:rFonts w:asciiTheme="minorBidi" w:hAnsiTheme="minorBidi"/>
          <w:sz w:val="32"/>
          <w:szCs w:val="32"/>
        </w:rPr>
        <w:t>####</w:t>
      </w:r>
    </w:p>
    <w:p w14:paraId="56A25DC3" w14:textId="77777777" w:rsidR="00981824" w:rsidRPr="007849F1" w:rsidRDefault="00981824" w:rsidP="00981824">
      <w:pPr>
        <w:spacing w:after="0"/>
        <w:jc w:val="thaiDistribute"/>
        <w:rPr>
          <w:rFonts w:asciiTheme="minorBidi" w:hAnsiTheme="minorBidi" w:cs="Cordia New"/>
          <w:b/>
          <w:bCs/>
          <w:sz w:val="32"/>
          <w:szCs w:val="32"/>
        </w:rPr>
      </w:pPr>
      <w:r w:rsidRPr="007849F1">
        <w:rPr>
          <w:rFonts w:asciiTheme="minorBidi" w:hAnsiTheme="minorBidi" w:cs="Cordia New"/>
          <w:b/>
          <w:bCs/>
          <w:sz w:val="32"/>
          <w:szCs w:val="32"/>
        </w:rPr>
        <w:t>About SCGC</w:t>
      </w:r>
    </w:p>
    <w:p w14:paraId="11144749" w14:textId="22298960" w:rsidR="00222B24" w:rsidRPr="007849F1" w:rsidRDefault="00981824" w:rsidP="00B478D2">
      <w:pPr>
        <w:spacing w:after="0"/>
        <w:ind w:firstLine="720"/>
        <w:jc w:val="thaiDistribute"/>
        <w:rPr>
          <w:rFonts w:asciiTheme="minorBidi" w:hAnsiTheme="minorBidi"/>
          <w:sz w:val="32"/>
          <w:szCs w:val="32"/>
        </w:rPr>
      </w:pPr>
      <w:r w:rsidRPr="007849F1">
        <w:rPr>
          <w:rFonts w:asciiTheme="minorBidi" w:hAnsiTheme="minorBidi" w:cs="Cordia New"/>
          <w:sz w:val="32"/>
          <w:szCs w:val="32"/>
        </w:rPr>
        <w:t xml:space="preserve">SCG Chemicals or SCGC is a leading integrated chemical player in ASEAN with strategic bases in Vietnam, Indonesia, and Thailand, offering a full range of petrochemical products ranging from upstream production of olefins to downstream production of </w:t>
      </w:r>
      <w:r w:rsidRPr="007849F1">
        <w:rPr>
          <w:rFonts w:asciiTheme="minorBidi" w:hAnsiTheme="minorBidi" w:cs="Cordia New"/>
          <w:sz w:val="32"/>
          <w:szCs w:val="32"/>
          <w:cs/>
        </w:rPr>
        <w:t xml:space="preserve">3 </w:t>
      </w:r>
      <w:r w:rsidRPr="007849F1">
        <w:rPr>
          <w:rFonts w:asciiTheme="minorBidi" w:hAnsiTheme="minorBidi" w:cs="Cordia New"/>
          <w:sz w:val="32"/>
          <w:szCs w:val="32"/>
        </w:rPr>
        <w:t>main plastics resins: polyethylene, polypropylene, and polyvinyl chloride. SCGC focuses on inventing "Innovation That's Real" to drive the ASEAN economy and elevate the quality of life in accordance with ESG and circular economy. SCGC develops technology and innovation toward HVAs in infrastructure, consumable packaging, automotive, health and well-being, and energy solutions, while ensuring sustainable environmental stewardship.</w:t>
      </w:r>
      <w:r w:rsidR="00222B24" w:rsidRPr="007849F1">
        <w:rPr>
          <w:rFonts w:asciiTheme="minorBidi" w:hAnsiTheme="minorBidi" w:cs="Cordia New"/>
          <w:sz w:val="32"/>
          <w:szCs w:val="32"/>
          <w:cs/>
        </w:rPr>
        <w:t xml:space="preserve"> </w:t>
      </w:r>
      <w:hyperlink r:id="rId9" w:history="1">
        <w:r w:rsidR="003E7EC8" w:rsidRPr="00F9289D">
          <w:rPr>
            <w:rStyle w:val="Hyperlink"/>
            <w:rFonts w:asciiTheme="minorBidi" w:hAnsiTheme="minorBidi"/>
            <w:sz w:val="32"/>
            <w:szCs w:val="32"/>
          </w:rPr>
          <w:t>https://www.scgchemicals.com</w:t>
        </w:r>
      </w:hyperlink>
      <w:r w:rsidR="003E7EC8">
        <w:rPr>
          <w:rFonts w:asciiTheme="minorBidi" w:hAnsiTheme="minorBidi"/>
          <w:sz w:val="32"/>
          <w:szCs w:val="32"/>
        </w:rPr>
        <w:t xml:space="preserve"> </w:t>
      </w:r>
      <w:r w:rsidR="003E7EC8">
        <w:rPr>
          <w:rStyle w:val="Hyperlink"/>
          <w:rFonts w:asciiTheme="minorBidi" w:hAnsiTheme="minorBidi"/>
          <w:color w:val="auto"/>
          <w:sz w:val="32"/>
          <w:szCs w:val="32"/>
        </w:rPr>
        <w:t xml:space="preserve"> </w:t>
      </w:r>
      <w:r w:rsidR="00222B24" w:rsidRPr="007849F1">
        <w:rPr>
          <w:rFonts w:asciiTheme="minorBidi" w:hAnsiTheme="minorBidi" w:hint="cs"/>
          <w:sz w:val="32"/>
          <w:szCs w:val="32"/>
          <w:cs/>
        </w:rPr>
        <w:t xml:space="preserve"> </w:t>
      </w:r>
    </w:p>
    <w:p w14:paraId="41799C21" w14:textId="77777777" w:rsidR="00A82610" w:rsidRPr="007849F1" w:rsidRDefault="00A82610" w:rsidP="00B478D2">
      <w:pPr>
        <w:spacing w:after="0"/>
        <w:ind w:firstLine="720"/>
        <w:jc w:val="thaiDistribute"/>
        <w:rPr>
          <w:rFonts w:asciiTheme="minorBidi" w:hAnsiTheme="minorBidi"/>
          <w:sz w:val="32"/>
          <w:szCs w:val="32"/>
          <w:cs/>
        </w:rPr>
      </w:pPr>
    </w:p>
    <w:p w14:paraId="7F737D9D" w14:textId="77777777" w:rsidR="00B478D2" w:rsidRPr="007849F1" w:rsidRDefault="00B478D2" w:rsidP="00B478D2">
      <w:pPr>
        <w:spacing w:after="0"/>
        <w:jc w:val="thaiDistribute"/>
        <w:rPr>
          <w:rFonts w:asciiTheme="minorBidi" w:hAnsiTheme="minorBidi" w:cs="Cordia New"/>
          <w:b/>
          <w:bCs/>
          <w:sz w:val="32"/>
          <w:szCs w:val="32"/>
        </w:rPr>
      </w:pPr>
      <w:r w:rsidRPr="007849F1">
        <w:rPr>
          <w:rFonts w:asciiTheme="minorBidi" w:hAnsiTheme="minorBidi" w:cs="Cordia New"/>
          <w:b/>
          <w:bCs/>
          <w:sz w:val="32"/>
          <w:szCs w:val="32"/>
        </w:rPr>
        <w:t>About Dow Thailand Group</w:t>
      </w:r>
    </w:p>
    <w:p w14:paraId="3C58D658" w14:textId="276E11DF" w:rsidR="00D33CCC" w:rsidRPr="007849F1" w:rsidRDefault="00D33CCC" w:rsidP="00B478D2">
      <w:pPr>
        <w:spacing w:after="0"/>
        <w:ind w:firstLine="720"/>
        <w:jc w:val="thaiDistribute"/>
        <w:rPr>
          <w:rFonts w:asciiTheme="minorBidi" w:hAnsiTheme="minorBidi" w:cs="Cordia New"/>
          <w:sz w:val="32"/>
          <w:szCs w:val="32"/>
        </w:rPr>
      </w:pPr>
      <w:r w:rsidRPr="00D33CCC">
        <w:rPr>
          <w:rFonts w:asciiTheme="minorBidi" w:hAnsiTheme="minorBidi" w:cs="Cordia New"/>
          <w:sz w:val="32"/>
          <w:szCs w:val="32"/>
        </w:rPr>
        <w:t xml:space="preserve">Dow started its business in Thailand in 1967, then expanded through a joint venture with SCG in 1987 (in 2022, SCG Chemicals rebranded to SCGC). At present, Dow Thailand Group consists of Dow's wholly owned subsidiaries and SCGC-DOW joint ventures. In addition, there is also a Solvay and Dow joint venture in Thailand. Dow Thailand Group is the largest manufacturing base for Dow in the Asia Pacific, with many manufacturing facilities in Rayong province. Its strategic markets in Thailand are packaging, building and infrastructure, and mobility industries. More information could be found at </w:t>
      </w:r>
      <w:hyperlink r:id="rId10" w:history="1">
        <w:r w:rsidRPr="00CA4E4F">
          <w:rPr>
            <w:rStyle w:val="Hyperlink"/>
            <w:rFonts w:asciiTheme="minorBidi" w:hAnsiTheme="minorBidi" w:cs="Cordia New"/>
            <w:sz w:val="32"/>
            <w:szCs w:val="32"/>
          </w:rPr>
          <w:t>https://th.dow.com/en-us</w:t>
        </w:r>
      </w:hyperlink>
      <w:r>
        <w:rPr>
          <w:rFonts w:asciiTheme="minorBidi" w:hAnsiTheme="minorBidi" w:cs="Cordia New"/>
          <w:sz w:val="32"/>
          <w:szCs w:val="32"/>
        </w:rPr>
        <w:t xml:space="preserve"> </w:t>
      </w:r>
      <w:r w:rsidRPr="00D33CCC">
        <w:rPr>
          <w:rFonts w:asciiTheme="minorBidi" w:hAnsiTheme="minorBidi" w:cs="Cordia New"/>
          <w:sz w:val="32"/>
          <w:szCs w:val="32"/>
        </w:rPr>
        <w:t xml:space="preserve">or the Thai Facebook </w:t>
      </w:r>
      <w:hyperlink r:id="rId11" w:history="1">
        <w:r w:rsidRPr="00CA4E4F">
          <w:rPr>
            <w:rStyle w:val="Hyperlink"/>
            <w:rFonts w:asciiTheme="minorBidi" w:hAnsiTheme="minorBidi" w:cs="Cordia New"/>
            <w:sz w:val="32"/>
            <w:szCs w:val="32"/>
          </w:rPr>
          <w:t>www.facebook.com/DowThailandGroup/</w:t>
        </w:r>
      </w:hyperlink>
      <w:r>
        <w:rPr>
          <w:rFonts w:asciiTheme="minorBidi" w:hAnsiTheme="minorBidi" w:cs="Cordia New"/>
          <w:sz w:val="32"/>
          <w:szCs w:val="32"/>
        </w:rPr>
        <w:t xml:space="preserve"> </w:t>
      </w:r>
    </w:p>
    <w:p w14:paraId="7B106944" w14:textId="11978BF8" w:rsidR="00B478D2" w:rsidRDefault="00B478D2" w:rsidP="00B478D2">
      <w:pPr>
        <w:spacing w:after="0"/>
        <w:jc w:val="thaiDistribute"/>
        <w:rPr>
          <w:rFonts w:asciiTheme="minorBidi" w:hAnsiTheme="minorBidi" w:cs="Cordia New"/>
          <w:sz w:val="32"/>
          <w:szCs w:val="32"/>
        </w:rPr>
      </w:pPr>
    </w:p>
    <w:p w14:paraId="7DE175BE" w14:textId="77777777" w:rsidR="005028C2" w:rsidRPr="007849F1" w:rsidRDefault="005028C2" w:rsidP="00B478D2">
      <w:pPr>
        <w:spacing w:after="0"/>
        <w:jc w:val="thaiDistribute"/>
        <w:rPr>
          <w:rFonts w:asciiTheme="minorBidi" w:hAnsiTheme="minorBidi" w:cs="Cordia New"/>
          <w:sz w:val="32"/>
          <w:szCs w:val="32"/>
        </w:rPr>
      </w:pPr>
    </w:p>
    <w:p w14:paraId="3FA3547B" w14:textId="77777777" w:rsidR="00B478D2" w:rsidRPr="007849F1" w:rsidRDefault="00B478D2" w:rsidP="00B478D2">
      <w:pPr>
        <w:spacing w:after="0"/>
        <w:jc w:val="thaiDistribute"/>
        <w:rPr>
          <w:rFonts w:asciiTheme="minorBidi" w:hAnsiTheme="minorBidi" w:cs="Cordia New"/>
          <w:b/>
          <w:bCs/>
          <w:sz w:val="32"/>
          <w:szCs w:val="32"/>
        </w:rPr>
      </w:pPr>
      <w:r w:rsidRPr="007849F1">
        <w:rPr>
          <w:rFonts w:asciiTheme="minorBidi" w:hAnsiTheme="minorBidi" w:cs="Cordia New"/>
          <w:b/>
          <w:bCs/>
          <w:sz w:val="32"/>
          <w:szCs w:val="32"/>
        </w:rPr>
        <w:lastRenderedPageBreak/>
        <w:t>About Dow</w:t>
      </w:r>
    </w:p>
    <w:p w14:paraId="78CC855B" w14:textId="2EF0E29F" w:rsidR="00315185" w:rsidRPr="007849F1" w:rsidRDefault="00D33CCC" w:rsidP="00D33CCC">
      <w:pPr>
        <w:spacing w:after="0"/>
        <w:ind w:firstLine="720"/>
        <w:jc w:val="thaiDistribute"/>
        <w:rPr>
          <w:rFonts w:asciiTheme="minorBidi" w:hAnsiTheme="minorBidi"/>
          <w:sz w:val="32"/>
          <w:szCs w:val="32"/>
        </w:rPr>
      </w:pPr>
      <w:r w:rsidRPr="00D33CCC">
        <w:rPr>
          <w:rFonts w:asciiTheme="minorBidi" w:hAnsiTheme="minorBidi" w:cs="Cordia New"/>
          <w:sz w:val="32"/>
          <w:szCs w:val="32"/>
        </w:rPr>
        <w:t xml:space="preserve">Dow (NYSE: DOW) is one of the world’s leading materials science companies, serving customers in high-growth markets such as packaging, infrastructure, mobility and consumer applications. Our global breadth, asset integration and scale, focused innovation, leading business positions and commitment to sustainability enable us to achieve profitable growth and help deliver a sustainable future. We operate manufacturing sites in 31 countries and employ approximately 35,900 people. Dow delivered sales of approximately $45 billion in 2023. References to Dow or the Company mean Dow Inc. and its subsidiaries. Learn more about us and our ambition to be the most innovative, customer-centric, inclusive and sustainable materials science company in the world by visiting </w:t>
      </w:r>
      <w:hyperlink r:id="rId12" w:history="1">
        <w:r w:rsidRPr="00CA4E4F">
          <w:rPr>
            <w:rStyle w:val="Hyperlink"/>
            <w:rFonts w:asciiTheme="minorBidi" w:hAnsiTheme="minorBidi" w:cs="Cordia New"/>
            <w:sz w:val="32"/>
            <w:szCs w:val="32"/>
          </w:rPr>
          <w:t>www.dow.com</w:t>
        </w:r>
      </w:hyperlink>
      <w:r w:rsidRPr="00D33CCC">
        <w:rPr>
          <w:rFonts w:asciiTheme="minorBidi" w:hAnsiTheme="minorBidi" w:cs="Cordia New"/>
          <w:sz w:val="32"/>
          <w:szCs w:val="32"/>
        </w:rPr>
        <w:t>.</w:t>
      </w:r>
      <w:r>
        <w:rPr>
          <w:rFonts w:asciiTheme="minorBidi" w:hAnsiTheme="minorBidi" w:cs="Cordia New"/>
          <w:sz w:val="32"/>
          <w:szCs w:val="32"/>
        </w:rPr>
        <w:t xml:space="preserve"> </w:t>
      </w:r>
    </w:p>
    <w:sectPr w:rsidR="00315185" w:rsidRPr="007849F1" w:rsidSect="0010346E">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416EF" w14:textId="77777777" w:rsidR="00EC3949" w:rsidRDefault="00EC3949" w:rsidP="00702E8A">
      <w:pPr>
        <w:spacing w:after="0" w:line="240" w:lineRule="auto"/>
      </w:pPr>
      <w:r>
        <w:separator/>
      </w:r>
    </w:p>
  </w:endnote>
  <w:endnote w:type="continuationSeparator" w:id="0">
    <w:p w14:paraId="603E5248" w14:textId="77777777" w:rsidR="00EC3949" w:rsidRDefault="00EC3949" w:rsidP="00702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E2B23" w14:textId="77777777" w:rsidR="007E33CF" w:rsidRDefault="007E33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14DA0" w14:textId="77777777" w:rsidR="007E33CF" w:rsidRDefault="007E33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6A30F" w14:textId="77777777" w:rsidR="007E33CF" w:rsidRDefault="007E33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B5A97" w14:textId="77777777" w:rsidR="00EC3949" w:rsidRDefault="00EC3949" w:rsidP="00702E8A">
      <w:pPr>
        <w:spacing w:after="0" w:line="240" w:lineRule="auto"/>
      </w:pPr>
      <w:r>
        <w:separator/>
      </w:r>
    </w:p>
  </w:footnote>
  <w:footnote w:type="continuationSeparator" w:id="0">
    <w:p w14:paraId="19589FC1" w14:textId="77777777" w:rsidR="00EC3949" w:rsidRDefault="00EC3949" w:rsidP="00702E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621C" w14:textId="77777777" w:rsidR="007E33CF" w:rsidRDefault="007E33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EBBA8" w14:textId="7E71BC2C" w:rsidR="00702E8A" w:rsidRPr="00981824" w:rsidRDefault="00406A85" w:rsidP="00A00184">
    <w:pPr>
      <w:rPr>
        <w:rFonts w:asciiTheme="minorBidi" w:hAnsiTheme="minorBidi"/>
        <w:sz w:val="44"/>
        <w:szCs w:val="44"/>
      </w:rPr>
    </w:pPr>
    <w:r w:rsidRPr="00981824">
      <w:rPr>
        <w:rFonts w:asciiTheme="minorBidi" w:hAnsiTheme="minorBidi"/>
        <w:noProof/>
        <w:sz w:val="32"/>
        <w:szCs w:val="40"/>
      </w:rPr>
      <w:drawing>
        <wp:anchor distT="0" distB="0" distL="114300" distR="114300" simplePos="0" relativeHeight="251659264" behindDoc="0" locked="0" layoutInCell="1" allowOverlap="1" wp14:anchorId="3EF06AA1" wp14:editId="6D31F3B0">
          <wp:simplePos x="0" y="0"/>
          <wp:positionH relativeFrom="column">
            <wp:posOffset>3590925</wp:posOffset>
          </wp:positionH>
          <wp:positionV relativeFrom="paragraph">
            <wp:posOffset>-142875</wp:posOffset>
          </wp:positionV>
          <wp:extent cx="1276350" cy="422275"/>
          <wp:effectExtent l="0" t="0" r="0" b="0"/>
          <wp:wrapTight wrapText="bothSides">
            <wp:wrapPolygon edited="0">
              <wp:start x="0" y="0"/>
              <wp:lineTo x="0" y="20463"/>
              <wp:lineTo x="21278" y="20463"/>
              <wp:lineTo x="21278" y="0"/>
              <wp:lineTo x="0" y="0"/>
            </wp:wrapPolygon>
          </wp:wrapTight>
          <wp:docPr id="3"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6607" name="Picture 1" descr="A blue and white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76350" cy="422275"/>
                  </a:xfrm>
                  <a:prstGeom prst="rect">
                    <a:avLst/>
                  </a:prstGeom>
                </pic:spPr>
              </pic:pic>
            </a:graphicData>
          </a:graphic>
          <wp14:sizeRelH relativeFrom="margin">
            <wp14:pctWidth>0</wp14:pctWidth>
          </wp14:sizeRelH>
          <wp14:sizeRelV relativeFrom="margin">
            <wp14:pctHeight>0</wp14:pctHeight>
          </wp14:sizeRelV>
        </wp:anchor>
      </w:drawing>
    </w:r>
    <w:r w:rsidRPr="00981824">
      <w:rPr>
        <w:rFonts w:asciiTheme="minorBidi" w:hAnsiTheme="minorBidi"/>
        <w:noProof/>
        <w:sz w:val="44"/>
        <w:szCs w:val="44"/>
      </w:rPr>
      <w:drawing>
        <wp:anchor distT="0" distB="0" distL="114300" distR="114300" simplePos="0" relativeHeight="251661312" behindDoc="1" locked="0" layoutInCell="1" allowOverlap="1" wp14:anchorId="30240554" wp14:editId="68536859">
          <wp:simplePos x="0" y="0"/>
          <wp:positionH relativeFrom="column">
            <wp:posOffset>4953000</wp:posOffset>
          </wp:positionH>
          <wp:positionV relativeFrom="paragraph">
            <wp:posOffset>-115570</wp:posOffset>
          </wp:positionV>
          <wp:extent cx="990600" cy="347345"/>
          <wp:effectExtent l="0" t="0" r="0" b="0"/>
          <wp:wrapThrough wrapText="bothSides">
            <wp:wrapPolygon edited="0">
              <wp:start x="0" y="0"/>
              <wp:lineTo x="0" y="20139"/>
              <wp:lineTo x="21185" y="20139"/>
              <wp:lineTo x="2118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2">
                    <a:extLst>
                      <a:ext uri="{28A0092B-C50C-407E-A947-70E740481C1C}">
                        <a14:useLocalDpi xmlns:a14="http://schemas.microsoft.com/office/drawing/2010/main" val="0"/>
                      </a:ext>
                    </a:extLst>
                  </a:blip>
                  <a:srcRect t="33013" r="4968" b="33654"/>
                  <a:stretch/>
                </pic:blipFill>
                <pic:spPr bwMode="auto">
                  <a:xfrm>
                    <a:off x="0" y="0"/>
                    <a:ext cx="990600" cy="3473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81824" w:rsidRPr="00981824">
      <w:rPr>
        <w:rFonts w:asciiTheme="minorBidi" w:hAnsiTheme="minorBidi"/>
        <w:noProof/>
        <w:sz w:val="32"/>
        <w:szCs w:val="40"/>
      </w:rPr>
      <w:t>Press Release</w:t>
    </w:r>
    <w:r w:rsidRPr="00981824">
      <w:rPr>
        <w:rFonts w:asciiTheme="minorBidi" w:hAnsiTheme="minorBidi"/>
        <w:noProof/>
        <w:sz w:val="44"/>
        <w:szCs w:val="4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52522" w14:textId="77777777" w:rsidR="007E33CF" w:rsidRDefault="007E33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C003E3"/>
    <w:multiLevelType w:val="hybridMultilevel"/>
    <w:tmpl w:val="BB6A74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F69"/>
    <w:rsid w:val="00007F26"/>
    <w:rsid w:val="000104BF"/>
    <w:rsid w:val="000140C6"/>
    <w:rsid w:val="00022D67"/>
    <w:rsid w:val="00025F4B"/>
    <w:rsid w:val="00030275"/>
    <w:rsid w:val="00030769"/>
    <w:rsid w:val="000310FA"/>
    <w:rsid w:val="0003284A"/>
    <w:rsid w:val="00034BFB"/>
    <w:rsid w:val="00035C21"/>
    <w:rsid w:val="00043135"/>
    <w:rsid w:val="00051A63"/>
    <w:rsid w:val="00052954"/>
    <w:rsid w:val="0005374F"/>
    <w:rsid w:val="00054180"/>
    <w:rsid w:val="000553E3"/>
    <w:rsid w:val="000630D1"/>
    <w:rsid w:val="00063E77"/>
    <w:rsid w:val="0006668E"/>
    <w:rsid w:val="00066FC0"/>
    <w:rsid w:val="0007491B"/>
    <w:rsid w:val="00085C7F"/>
    <w:rsid w:val="00085F33"/>
    <w:rsid w:val="000906CD"/>
    <w:rsid w:val="000954A0"/>
    <w:rsid w:val="000A1A18"/>
    <w:rsid w:val="000A54FE"/>
    <w:rsid w:val="000B2F56"/>
    <w:rsid w:val="000C4D4B"/>
    <w:rsid w:val="000C610B"/>
    <w:rsid w:val="000C64F0"/>
    <w:rsid w:val="000D48F0"/>
    <w:rsid w:val="000E08AD"/>
    <w:rsid w:val="000E3FAB"/>
    <w:rsid w:val="000F6BD7"/>
    <w:rsid w:val="0010346E"/>
    <w:rsid w:val="001058CA"/>
    <w:rsid w:val="00107AD9"/>
    <w:rsid w:val="00110C61"/>
    <w:rsid w:val="0011237E"/>
    <w:rsid w:val="00116608"/>
    <w:rsid w:val="0012724C"/>
    <w:rsid w:val="001275AB"/>
    <w:rsid w:val="00135428"/>
    <w:rsid w:val="001423D4"/>
    <w:rsid w:val="001447BF"/>
    <w:rsid w:val="0014605B"/>
    <w:rsid w:val="001543FF"/>
    <w:rsid w:val="001657ED"/>
    <w:rsid w:val="00184C46"/>
    <w:rsid w:val="00187AE8"/>
    <w:rsid w:val="001915D9"/>
    <w:rsid w:val="00192F69"/>
    <w:rsid w:val="0019420B"/>
    <w:rsid w:val="001A0258"/>
    <w:rsid w:val="001A2F5D"/>
    <w:rsid w:val="001A4D41"/>
    <w:rsid w:val="001B36F5"/>
    <w:rsid w:val="001B4FAB"/>
    <w:rsid w:val="001C3005"/>
    <w:rsid w:val="001C7A3A"/>
    <w:rsid w:val="001D132E"/>
    <w:rsid w:val="001E18A8"/>
    <w:rsid w:val="001F6B89"/>
    <w:rsid w:val="0020094F"/>
    <w:rsid w:val="0020299C"/>
    <w:rsid w:val="002051D8"/>
    <w:rsid w:val="00212E6B"/>
    <w:rsid w:val="002164FB"/>
    <w:rsid w:val="00222B24"/>
    <w:rsid w:val="002262DB"/>
    <w:rsid w:val="00230F53"/>
    <w:rsid w:val="0023528B"/>
    <w:rsid w:val="00235BCA"/>
    <w:rsid w:val="00241A41"/>
    <w:rsid w:val="002448D7"/>
    <w:rsid w:val="00250342"/>
    <w:rsid w:val="0026281C"/>
    <w:rsid w:val="0026565E"/>
    <w:rsid w:val="002717A1"/>
    <w:rsid w:val="00274115"/>
    <w:rsid w:val="00285D89"/>
    <w:rsid w:val="00286C39"/>
    <w:rsid w:val="002908CC"/>
    <w:rsid w:val="002915A2"/>
    <w:rsid w:val="002952E6"/>
    <w:rsid w:val="002A1A94"/>
    <w:rsid w:val="002A40EE"/>
    <w:rsid w:val="002B1426"/>
    <w:rsid w:val="002B3EBB"/>
    <w:rsid w:val="002D1401"/>
    <w:rsid w:val="002E63B7"/>
    <w:rsid w:val="002E69CA"/>
    <w:rsid w:val="00301DAA"/>
    <w:rsid w:val="00302865"/>
    <w:rsid w:val="00303088"/>
    <w:rsid w:val="00303672"/>
    <w:rsid w:val="003062BD"/>
    <w:rsid w:val="00306480"/>
    <w:rsid w:val="00312A03"/>
    <w:rsid w:val="00315185"/>
    <w:rsid w:val="003151AA"/>
    <w:rsid w:val="00316002"/>
    <w:rsid w:val="0031769C"/>
    <w:rsid w:val="00322167"/>
    <w:rsid w:val="0032748B"/>
    <w:rsid w:val="00327590"/>
    <w:rsid w:val="003361A9"/>
    <w:rsid w:val="003368D6"/>
    <w:rsid w:val="00353E08"/>
    <w:rsid w:val="003645A0"/>
    <w:rsid w:val="003717F3"/>
    <w:rsid w:val="00372370"/>
    <w:rsid w:val="00373EC3"/>
    <w:rsid w:val="003741F8"/>
    <w:rsid w:val="00374B78"/>
    <w:rsid w:val="00374E9C"/>
    <w:rsid w:val="003752AC"/>
    <w:rsid w:val="003803D6"/>
    <w:rsid w:val="0038147B"/>
    <w:rsid w:val="0038344C"/>
    <w:rsid w:val="0038484B"/>
    <w:rsid w:val="00385315"/>
    <w:rsid w:val="00386361"/>
    <w:rsid w:val="003A2EA8"/>
    <w:rsid w:val="003A316B"/>
    <w:rsid w:val="003A5398"/>
    <w:rsid w:val="003A67BE"/>
    <w:rsid w:val="003A7DCB"/>
    <w:rsid w:val="003B2075"/>
    <w:rsid w:val="003C5EEC"/>
    <w:rsid w:val="003C620D"/>
    <w:rsid w:val="003D1A3B"/>
    <w:rsid w:val="003D30CA"/>
    <w:rsid w:val="003D3C35"/>
    <w:rsid w:val="003D4151"/>
    <w:rsid w:val="003E5C81"/>
    <w:rsid w:val="003E69C1"/>
    <w:rsid w:val="003E7EC8"/>
    <w:rsid w:val="003F3A4F"/>
    <w:rsid w:val="00403408"/>
    <w:rsid w:val="00406A85"/>
    <w:rsid w:val="00414899"/>
    <w:rsid w:val="004227BD"/>
    <w:rsid w:val="00423263"/>
    <w:rsid w:val="0042394F"/>
    <w:rsid w:val="0043365C"/>
    <w:rsid w:val="00434CF6"/>
    <w:rsid w:val="004355CF"/>
    <w:rsid w:val="004359E6"/>
    <w:rsid w:val="004504A6"/>
    <w:rsid w:val="0045193B"/>
    <w:rsid w:val="004558A9"/>
    <w:rsid w:val="004559B9"/>
    <w:rsid w:val="00461257"/>
    <w:rsid w:val="00467BB4"/>
    <w:rsid w:val="00476B93"/>
    <w:rsid w:val="00477AEA"/>
    <w:rsid w:val="00481080"/>
    <w:rsid w:val="00486C73"/>
    <w:rsid w:val="00491D3F"/>
    <w:rsid w:val="00494DB8"/>
    <w:rsid w:val="004955E0"/>
    <w:rsid w:val="004A1CDD"/>
    <w:rsid w:val="004B1B22"/>
    <w:rsid w:val="004B4902"/>
    <w:rsid w:val="004C647F"/>
    <w:rsid w:val="004C6517"/>
    <w:rsid w:val="004C7B4A"/>
    <w:rsid w:val="004D7258"/>
    <w:rsid w:val="004D7F10"/>
    <w:rsid w:val="004E6766"/>
    <w:rsid w:val="004F29B4"/>
    <w:rsid w:val="004F6753"/>
    <w:rsid w:val="005027F4"/>
    <w:rsid w:val="005028C2"/>
    <w:rsid w:val="00505998"/>
    <w:rsid w:val="00507AF3"/>
    <w:rsid w:val="00516470"/>
    <w:rsid w:val="00517C4E"/>
    <w:rsid w:val="005227C1"/>
    <w:rsid w:val="00522D80"/>
    <w:rsid w:val="00525C2A"/>
    <w:rsid w:val="00526E5E"/>
    <w:rsid w:val="00531524"/>
    <w:rsid w:val="005363C0"/>
    <w:rsid w:val="005367C6"/>
    <w:rsid w:val="005445F1"/>
    <w:rsid w:val="00544FB6"/>
    <w:rsid w:val="00552858"/>
    <w:rsid w:val="00553A33"/>
    <w:rsid w:val="00554A4D"/>
    <w:rsid w:val="00561346"/>
    <w:rsid w:val="0056401E"/>
    <w:rsid w:val="005662E2"/>
    <w:rsid w:val="005677DE"/>
    <w:rsid w:val="00571019"/>
    <w:rsid w:val="00575888"/>
    <w:rsid w:val="005803CB"/>
    <w:rsid w:val="00580762"/>
    <w:rsid w:val="005862AE"/>
    <w:rsid w:val="00592C9C"/>
    <w:rsid w:val="005931DE"/>
    <w:rsid w:val="005C65D2"/>
    <w:rsid w:val="005D1F1C"/>
    <w:rsid w:val="005F7126"/>
    <w:rsid w:val="0060388B"/>
    <w:rsid w:val="006050B4"/>
    <w:rsid w:val="00605F13"/>
    <w:rsid w:val="00606013"/>
    <w:rsid w:val="00606442"/>
    <w:rsid w:val="006116DD"/>
    <w:rsid w:val="00615C93"/>
    <w:rsid w:val="00616BF3"/>
    <w:rsid w:val="006207AE"/>
    <w:rsid w:val="00620AAB"/>
    <w:rsid w:val="00625B8E"/>
    <w:rsid w:val="0063154D"/>
    <w:rsid w:val="00631E62"/>
    <w:rsid w:val="00632CEE"/>
    <w:rsid w:val="0063419C"/>
    <w:rsid w:val="0064359A"/>
    <w:rsid w:val="00652A6B"/>
    <w:rsid w:val="00662DC6"/>
    <w:rsid w:val="006728C2"/>
    <w:rsid w:val="006938B7"/>
    <w:rsid w:val="006A31F0"/>
    <w:rsid w:val="006A39A1"/>
    <w:rsid w:val="006A5EA8"/>
    <w:rsid w:val="006B2CCE"/>
    <w:rsid w:val="006B5F64"/>
    <w:rsid w:val="006C2890"/>
    <w:rsid w:val="006C5AE6"/>
    <w:rsid w:val="006D180D"/>
    <w:rsid w:val="006D311A"/>
    <w:rsid w:val="006E6324"/>
    <w:rsid w:val="006F0F38"/>
    <w:rsid w:val="006F3E93"/>
    <w:rsid w:val="006F65A1"/>
    <w:rsid w:val="00700D82"/>
    <w:rsid w:val="00702E8A"/>
    <w:rsid w:val="007131E0"/>
    <w:rsid w:val="00715F09"/>
    <w:rsid w:val="007164B3"/>
    <w:rsid w:val="00716D04"/>
    <w:rsid w:val="00726945"/>
    <w:rsid w:val="00727C19"/>
    <w:rsid w:val="00736AA6"/>
    <w:rsid w:val="007378D8"/>
    <w:rsid w:val="00740E98"/>
    <w:rsid w:val="00741A70"/>
    <w:rsid w:val="00741B8B"/>
    <w:rsid w:val="00746E42"/>
    <w:rsid w:val="0074727D"/>
    <w:rsid w:val="00750723"/>
    <w:rsid w:val="0076064E"/>
    <w:rsid w:val="00760899"/>
    <w:rsid w:val="00760C0D"/>
    <w:rsid w:val="00761EC5"/>
    <w:rsid w:val="007622B3"/>
    <w:rsid w:val="00762497"/>
    <w:rsid w:val="0076293E"/>
    <w:rsid w:val="0076628E"/>
    <w:rsid w:val="00773099"/>
    <w:rsid w:val="007756A9"/>
    <w:rsid w:val="00776D2D"/>
    <w:rsid w:val="007813B2"/>
    <w:rsid w:val="007849F1"/>
    <w:rsid w:val="0078649B"/>
    <w:rsid w:val="00791A40"/>
    <w:rsid w:val="00791D8F"/>
    <w:rsid w:val="0079417B"/>
    <w:rsid w:val="007954B9"/>
    <w:rsid w:val="0079572A"/>
    <w:rsid w:val="007A341E"/>
    <w:rsid w:val="007A4529"/>
    <w:rsid w:val="007C0A56"/>
    <w:rsid w:val="007C72E6"/>
    <w:rsid w:val="007D1AA6"/>
    <w:rsid w:val="007D74CC"/>
    <w:rsid w:val="007E0AE6"/>
    <w:rsid w:val="007E110A"/>
    <w:rsid w:val="007E1447"/>
    <w:rsid w:val="007E33CF"/>
    <w:rsid w:val="007E4808"/>
    <w:rsid w:val="007E5A68"/>
    <w:rsid w:val="007E6708"/>
    <w:rsid w:val="00804D2B"/>
    <w:rsid w:val="00806A08"/>
    <w:rsid w:val="00811772"/>
    <w:rsid w:val="00811CEE"/>
    <w:rsid w:val="008217C1"/>
    <w:rsid w:val="00823927"/>
    <w:rsid w:val="008322FB"/>
    <w:rsid w:val="00835F41"/>
    <w:rsid w:val="00837A3F"/>
    <w:rsid w:val="008406CC"/>
    <w:rsid w:val="00853930"/>
    <w:rsid w:val="00855DF3"/>
    <w:rsid w:val="0086055D"/>
    <w:rsid w:val="00866490"/>
    <w:rsid w:val="0087166F"/>
    <w:rsid w:val="00872237"/>
    <w:rsid w:val="0087353B"/>
    <w:rsid w:val="00873654"/>
    <w:rsid w:val="0088340D"/>
    <w:rsid w:val="00884D26"/>
    <w:rsid w:val="0088799C"/>
    <w:rsid w:val="008964FC"/>
    <w:rsid w:val="008A15A1"/>
    <w:rsid w:val="008B00E5"/>
    <w:rsid w:val="008B1F2E"/>
    <w:rsid w:val="008B61F1"/>
    <w:rsid w:val="008C3FD5"/>
    <w:rsid w:val="008D0559"/>
    <w:rsid w:val="008D3B48"/>
    <w:rsid w:val="008D5B48"/>
    <w:rsid w:val="008D65A3"/>
    <w:rsid w:val="008E002F"/>
    <w:rsid w:val="008E3955"/>
    <w:rsid w:val="008E43F0"/>
    <w:rsid w:val="008E5358"/>
    <w:rsid w:val="008E6772"/>
    <w:rsid w:val="008F0276"/>
    <w:rsid w:val="008F2569"/>
    <w:rsid w:val="008F7B43"/>
    <w:rsid w:val="0090149F"/>
    <w:rsid w:val="00906370"/>
    <w:rsid w:val="00906E39"/>
    <w:rsid w:val="009109F5"/>
    <w:rsid w:val="00912C75"/>
    <w:rsid w:val="0091478A"/>
    <w:rsid w:val="0091490B"/>
    <w:rsid w:val="00917CD8"/>
    <w:rsid w:val="0092406E"/>
    <w:rsid w:val="009241AC"/>
    <w:rsid w:val="009256F8"/>
    <w:rsid w:val="0093340B"/>
    <w:rsid w:val="00933C70"/>
    <w:rsid w:val="0093547A"/>
    <w:rsid w:val="0093605D"/>
    <w:rsid w:val="00940CF8"/>
    <w:rsid w:val="0094104D"/>
    <w:rsid w:val="00945B96"/>
    <w:rsid w:val="00950892"/>
    <w:rsid w:val="0095329C"/>
    <w:rsid w:val="0095574A"/>
    <w:rsid w:val="009655F9"/>
    <w:rsid w:val="00966F82"/>
    <w:rsid w:val="009702D1"/>
    <w:rsid w:val="0097247D"/>
    <w:rsid w:val="00975F45"/>
    <w:rsid w:val="00975F74"/>
    <w:rsid w:val="009776AE"/>
    <w:rsid w:val="0098126C"/>
    <w:rsid w:val="00981824"/>
    <w:rsid w:val="0098773D"/>
    <w:rsid w:val="00987924"/>
    <w:rsid w:val="009924B0"/>
    <w:rsid w:val="00993482"/>
    <w:rsid w:val="00996DA2"/>
    <w:rsid w:val="009A0C9C"/>
    <w:rsid w:val="009A1567"/>
    <w:rsid w:val="009A3304"/>
    <w:rsid w:val="009A5E71"/>
    <w:rsid w:val="009B004D"/>
    <w:rsid w:val="009B3DE4"/>
    <w:rsid w:val="009C0DBF"/>
    <w:rsid w:val="009C404B"/>
    <w:rsid w:val="009D2E1A"/>
    <w:rsid w:val="009D76CE"/>
    <w:rsid w:val="009E17A1"/>
    <w:rsid w:val="009E473C"/>
    <w:rsid w:val="009E5A05"/>
    <w:rsid w:val="009F007B"/>
    <w:rsid w:val="009F304D"/>
    <w:rsid w:val="009F4FA0"/>
    <w:rsid w:val="009F5B6E"/>
    <w:rsid w:val="009F6519"/>
    <w:rsid w:val="00A00184"/>
    <w:rsid w:val="00A00FEA"/>
    <w:rsid w:val="00A025DC"/>
    <w:rsid w:val="00A05889"/>
    <w:rsid w:val="00A11DA8"/>
    <w:rsid w:val="00A12403"/>
    <w:rsid w:val="00A12819"/>
    <w:rsid w:val="00A22948"/>
    <w:rsid w:val="00A26AED"/>
    <w:rsid w:val="00A3288A"/>
    <w:rsid w:val="00A40BCD"/>
    <w:rsid w:val="00A424BA"/>
    <w:rsid w:val="00A43E38"/>
    <w:rsid w:val="00A4473F"/>
    <w:rsid w:val="00A54B7C"/>
    <w:rsid w:val="00A557B8"/>
    <w:rsid w:val="00A72F36"/>
    <w:rsid w:val="00A746AB"/>
    <w:rsid w:val="00A75DDD"/>
    <w:rsid w:val="00A81AC8"/>
    <w:rsid w:val="00A82610"/>
    <w:rsid w:val="00A840AD"/>
    <w:rsid w:val="00A859E0"/>
    <w:rsid w:val="00A86E2D"/>
    <w:rsid w:val="00A90087"/>
    <w:rsid w:val="00A95B2F"/>
    <w:rsid w:val="00AA0F34"/>
    <w:rsid w:val="00AA343D"/>
    <w:rsid w:val="00AB61B5"/>
    <w:rsid w:val="00AB78F3"/>
    <w:rsid w:val="00AB7A08"/>
    <w:rsid w:val="00AC73EA"/>
    <w:rsid w:val="00AC7497"/>
    <w:rsid w:val="00AC7EC7"/>
    <w:rsid w:val="00AD1D86"/>
    <w:rsid w:val="00AD381E"/>
    <w:rsid w:val="00AD58AA"/>
    <w:rsid w:val="00AD5BC1"/>
    <w:rsid w:val="00AD65E6"/>
    <w:rsid w:val="00AE10BC"/>
    <w:rsid w:val="00AE42EA"/>
    <w:rsid w:val="00AF6391"/>
    <w:rsid w:val="00AF660E"/>
    <w:rsid w:val="00B008A0"/>
    <w:rsid w:val="00B040C6"/>
    <w:rsid w:val="00B04C3E"/>
    <w:rsid w:val="00B058D1"/>
    <w:rsid w:val="00B14E77"/>
    <w:rsid w:val="00B14FA1"/>
    <w:rsid w:val="00B20082"/>
    <w:rsid w:val="00B20BE4"/>
    <w:rsid w:val="00B228A7"/>
    <w:rsid w:val="00B24A67"/>
    <w:rsid w:val="00B251F1"/>
    <w:rsid w:val="00B25EDF"/>
    <w:rsid w:val="00B27B2D"/>
    <w:rsid w:val="00B41AFB"/>
    <w:rsid w:val="00B45D37"/>
    <w:rsid w:val="00B478D2"/>
    <w:rsid w:val="00B51494"/>
    <w:rsid w:val="00B538CB"/>
    <w:rsid w:val="00B56857"/>
    <w:rsid w:val="00B57344"/>
    <w:rsid w:val="00B61F57"/>
    <w:rsid w:val="00B62227"/>
    <w:rsid w:val="00B655AC"/>
    <w:rsid w:val="00B7050B"/>
    <w:rsid w:val="00B7165E"/>
    <w:rsid w:val="00B72552"/>
    <w:rsid w:val="00B72666"/>
    <w:rsid w:val="00B75172"/>
    <w:rsid w:val="00B76D58"/>
    <w:rsid w:val="00B80807"/>
    <w:rsid w:val="00B83641"/>
    <w:rsid w:val="00B87940"/>
    <w:rsid w:val="00B93C87"/>
    <w:rsid w:val="00B943D6"/>
    <w:rsid w:val="00BA3D07"/>
    <w:rsid w:val="00BA75E1"/>
    <w:rsid w:val="00BA7FFE"/>
    <w:rsid w:val="00BB56F6"/>
    <w:rsid w:val="00BB643E"/>
    <w:rsid w:val="00BC00DD"/>
    <w:rsid w:val="00BC0C28"/>
    <w:rsid w:val="00BC5328"/>
    <w:rsid w:val="00BC68A4"/>
    <w:rsid w:val="00BD340D"/>
    <w:rsid w:val="00BD5CB6"/>
    <w:rsid w:val="00BE0524"/>
    <w:rsid w:val="00BE0D89"/>
    <w:rsid w:val="00BE0E29"/>
    <w:rsid w:val="00C021D8"/>
    <w:rsid w:val="00C047DB"/>
    <w:rsid w:val="00C07926"/>
    <w:rsid w:val="00C204DC"/>
    <w:rsid w:val="00C229BB"/>
    <w:rsid w:val="00C250A9"/>
    <w:rsid w:val="00C25962"/>
    <w:rsid w:val="00C26CA4"/>
    <w:rsid w:val="00C33377"/>
    <w:rsid w:val="00C33C2C"/>
    <w:rsid w:val="00C3615A"/>
    <w:rsid w:val="00C414CE"/>
    <w:rsid w:val="00C41BD5"/>
    <w:rsid w:val="00C46257"/>
    <w:rsid w:val="00C47B92"/>
    <w:rsid w:val="00C55E37"/>
    <w:rsid w:val="00C57CF5"/>
    <w:rsid w:val="00C60EDC"/>
    <w:rsid w:val="00C61608"/>
    <w:rsid w:val="00C67BB6"/>
    <w:rsid w:val="00C70AB1"/>
    <w:rsid w:val="00C72641"/>
    <w:rsid w:val="00C76C95"/>
    <w:rsid w:val="00C96274"/>
    <w:rsid w:val="00CA2BE8"/>
    <w:rsid w:val="00CC3555"/>
    <w:rsid w:val="00CD6385"/>
    <w:rsid w:val="00CD6EB6"/>
    <w:rsid w:val="00CD6EC4"/>
    <w:rsid w:val="00CF09B1"/>
    <w:rsid w:val="00D00909"/>
    <w:rsid w:val="00D04430"/>
    <w:rsid w:val="00D10A87"/>
    <w:rsid w:val="00D14E5A"/>
    <w:rsid w:val="00D22C3F"/>
    <w:rsid w:val="00D30D48"/>
    <w:rsid w:val="00D33CCC"/>
    <w:rsid w:val="00D36ADD"/>
    <w:rsid w:val="00D40E79"/>
    <w:rsid w:val="00D47AA6"/>
    <w:rsid w:val="00D47C28"/>
    <w:rsid w:val="00D5332A"/>
    <w:rsid w:val="00D74460"/>
    <w:rsid w:val="00D764E1"/>
    <w:rsid w:val="00D84029"/>
    <w:rsid w:val="00D8507D"/>
    <w:rsid w:val="00D862F3"/>
    <w:rsid w:val="00D87D61"/>
    <w:rsid w:val="00D87E42"/>
    <w:rsid w:val="00D92AE7"/>
    <w:rsid w:val="00D92FC0"/>
    <w:rsid w:val="00D97AF2"/>
    <w:rsid w:val="00DA2422"/>
    <w:rsid w:val="00DA2C30"/>
    <w:rsid w:val="00DA388D"/>
    <w:rsid w:val="00DA455D"/>
    <w:rsid w:val="00DA504F"/>
    <w:rsid w:val="00DA7A17"/>
    <w:rsid w:val="00DB438C"/>
    <w:rsid w:val="00DD0D5E"/>
    <w:rsid w:val="00DD4FAC"/>
    <w:rsid w:val="00DE5741"/>
    <w:rsid w:val="00DF0647"/>
    <w:rsid w:val="00DF2A15"/>
    <w:rsid w:val="00DF6E24"/>
    <w:rsid w:val="00DF6F85"/>
    <w:rsid w:val="00E02AF3"/>
    <w:rsid w:val="00E034E3"/>
    <w:rsid w:val="00E13F4B"/>
    <w:rsid w:val="00E14613"/>
    <w:rsid w:val="00E15C2B"/>
    <w:rsid w:val="00E16357"/>
    <w:rsid w:val="00E21150"/>
    <w:rsid w:val="00E25E70"/>
    <w:rsid w:val="00E2732D"/>
    <w:rsid w:val="00E3098A"/>
    <w:rsid w:val="00E33117"/>
    <w:rsid w:val="00E35831"/>
    <w:rsid w:val="00E37EA1"/>
    <w:rsid w:val="00E41516"/>
    <w:rsid w:val="00E47F27"/>
    <w:rsid w:val="00E508A7"/>
    <w:rsid w:val="00E57B15"/>
    <w:rsid w:val="00E7267D"/>
    <w:rsid w:val="00E8025E"/>
    <w:rsid w:val="00E8098E"/>
    <w:rsid w:val="00E8280E"/>
    <w:rsid w:val="00E83313"/>
    <w:rsid w:val="00E93A94"/>
    <w:rsid w:val="00E94720"/>
    <w:rsid w:val="00E9529C"/>
    <w:rsid w:val="00E97864"/>
    <w:rsid w:val="00EB4AC0"/>
    <w:rsid w:val="00EB639A"/>
    <w:rsid w:val="00EB768C"/>
    <w:rsid w:val="00EC0622"/>
    <w:rsid w:val="00EC28F3"/>
    <w:rsid w:val="00EC3949"/>
    <w:rsid w:val="00EC49D1"/>
    <w:rsid w:val="00ED1B73"/>
    <w:rsid w:val="00ED1D1B"/>
    <w:rsid w:val="00EE1935"/>
    <w:rsid w:val="00EE6A0F"/>
    <w:rsid w:val="00EF2033"/>
    <w:rsid w:val="00F009D1"/>
    <w:rsid w:val="00F01FFC"/>
    <w:rsid w:val="00F04684"/>
    <w:rsid w:val="00F1039B"/>
    <w:rsid w:val="00F1405F"/>
    <w:rsid w:val="00F16EFF"/>
    <w:rsid w:val="00F179D7"/>
    <w:rsid w:val="00F22F0F"/>
    <w:rsid w:val="00F236A0"/>
    <w:rsid w:val="00F2611E"/>
    <w:rsid w:val="00F33711"/>
    <w:rsid w:val="00F35B31"/>
    <w:rsid w:val="00F35D83"/>
    <w:rsid w:val="00F369FB"/>
    <w:rsid w:val="00F414FC"/>
    <w:rsid w:val="00F449FF"/>
    <w:rsid w:val="00F50461"/>
    <w:rsid w:val="00F50496"/>
    <w:rsid w:val="00F54262"/>
    <w:rsid w:val="00F54C88"/>
    <w:rsid w:val="00F64AA6"/>
    <w:rsid w:val="00F67003"/>
    <w:rsid w:val="00F71AAB"/>
    <w:rsid w:val="00F80522"/>
    <w:rsid w:val="00F91100"/>
    <w:rsid w:val="00F97C3C"/>
    <w:rsid w:val="00FA24FC"/>
    <w:rsid w:val="00FA25C1"/>
    <w:rsid w:val="00FA3DB9"/>
    <w:rsid w:val="00FA51D5"/>
    <w:rsid w:val="00FA6766"/>
    <w:rsid w:val="00FC118A"/>
    <w:rsid w:val="00FC2873"/>
    <w:rsid w:val="00FC443C"/>
    <w:rsid w:val="00FC742F"/>
    <w:rsid w:val="00FC76C1"/>
    <w:rsid w:val="00FD57D5"/>
    <w:rsid w:val="00FD69F2"/>
    <w:rsid w:val="00FE605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4C8C30"/>
  <w15:chartTrackingRefBased/>
  <w15:docId w15:val="{9C3ECD31-917E-4854-BFD5-03BDAA2A2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8"/>
        <w:lang w:val="en-US" w:eastAsia="en-US"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62497"/>
    <w:rPr>
      <w:b/>
      <w:bCs/>
    </w:rPr>
  </w:style>
  <w:style w:type="paragraph" w:styleId="Header">
    <w:name w:val="header"/>
    <w:basedOn w:val="Normal"/>
    <w:link w:val="HeaderChar"/>
    <w:uiPriority w:val="99"/>
    <w:unhideWhenUsed/>
    <w:rsid w:val="00702E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2E8A"/>
  </w:style>
  <w:style w:type="paragraph" w:styleId="Footer">
    <w:name w:val="footer"/>
    <w:basedOn w:val="Normal"/>
    <w:link w:val="FooterChar"/>
    <w:uiPriority w:val="99"/>
    <w:unhideWhenUsed/>
    <w:rsid w:val="00702E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2E8A"/>
  </w:style>
  <w:style w:type="paragraph" w:styleId="Revision">
    <w:name w:val="Revision"/>
    <w:hidden/>
    <w:uiPriority w:val="99"/>
    <w:semiHidden/>
    <w:rsid w:val="006A39A1"/>
    <w:pPr>
      <w:spacing w:after="0" w:line="240" w:lineRule="auto"/>
    </w:pPr>
  </w:style>
  <w:style w:type="paragraph" w:styleId="BalloonText">
    <w:name w:val="Balloon Text"/>
    <w:basedOn w:val="Normal"/>
    <w:link w:val="BalloonTextChar"/>
    <w:uiPriority w:val="99"/>
    <w:semiHidden/>
    <w:unhideWhenUsed/>
    <w:rsid w:val="00D87E42"/>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D87E42"/>
    <w:rPr>
      <w:rFonts w:ascii="Segoe UI" w:hAnsi="Segoe UI" w:cs="Angsana New"/>
      <w:sz w:val="18"/>
      <w:szCs w:val="22"/>
    </w:rPr>
  </w:style>
  <w:style w:type="character" w:styleId="Hyperlink">
    <w:name w:val="Hyperlink"/>
    <w:basedOn w:val="DefaultParagraphFont"/>
    <w:uiPriority w:val="99"/>
    <w:unhideWhenUsed/>
    <w:rsid w:val="00222B24"/>
    <w:rPr>
      <w:color w:val="0563C1" w:themeColor="hyperlink"/>
      <w:u w:val="single"/>
    </w:rPr>
  </w:style>
  <w:style w:type="character" w:styleId="UnresolvedMention">
    <w:name w:val="Unresolved Mention"/>
    <w:basedOn w:val="DefaultParagraphFont"/>
    <w:uiPriority w:val="99"/>
    <w:semiHidden/>
    <w:unhideWhenUsed/>
    <w:rsid w:val="00222B24"/>
    <w:rPr>
      <w:color w:val="605E5C"/>
      <w:shd w:val="clear" w:color="auto" w:fill="E1DFDD"/>
    </w:rPr>
  </w:style>
  <w:style w:type="paragraph" w:styleId="ListParagraph">
    <w:name w:val="List Paragraph"/>
    <w:basedOn w:val="Normal"/>
    <w:uiPriority w:val="34"/>
    <w:qFormat/>
    <w:rsid w:val="00981824"/>
    <w:pPr>
      <w:ind w:left="720"/>
      <w:contextualSpacing/>
    </w:pPr>
  </w:style>
  <w:style w:type="paragraph" w:customStyle="1" w:styleId="LetterBody">
    <w:name w:val="Letter Body"/>
    <w:qFormat/>
    <w:rsid w:val="00981824"/>
    <w:pPr>
      <w:spacing w:after="0" w:line="240" w:lineRule="exact"/>
    </w:pPr>
    <w:rPr>
      <w:rFonts w:ascii="Arial" w:eastAsiaTheme="minorEastAsia" w:hAnsi="Arial"/>
      <w:kern w:val="0"/>
      <w:sz w:val="20"/>
      <w:szCs w:val="24"/>
      <w:lang w:bidi="ar-SA"/>
      <w14:ligatures w14:val="none"/>
    </w:rPr>
  </w:style>
  <w:style w:type="paragraph" w:styleId="NoSpacing">
    <w:name w:val="No Spacing"/>
    <w:uiPriority w:val="1"/>
    <w:qFormat/>
    <w:rsid w:val="00981824"/>
    <w:pPr>
      <w:spacing w:after="0" w:line="240" w:lineRule="auto"/>
    </w:pPr>
    <w:rPr>
      <w:kern w:val="0"/>
      <w:szCs w:val="22"/>
      <w:lang w:bidi="ar-SA"/>
      <w14:ligatures w14:val="none"/>
    </w:rPr>
  </w:style>
  <w:style w:type="character" w:styleId="CommentReference">
    <w:name w:val="annotation reference"/>
    <w:basedOn w:val="DefaultParagraphFont"/>
    <w:uiPriority w:val="99"/>
    <w:semiHidden/>
    <w:unhideWhenUsed/>
    <w:rsid w:val="00981824"/>
    <w:rPr>
      <w:sz w:val="16"/>
      <w:szCs w:val="16"/>
    </w:rPr>
  </w:style>
  <w:style w:type="paragraph" w:styleId="CommentText">
    <w:name w:val="annotation text"/>
    <w:basedOn w:val="Normal"/>
    <w:link w:val="CommentTextChar"/>
    <w:uiPriority w:val="99"/>
    <w:unhideWhenUsed/>
    <w:rsid w:val="00981824"/>
    <w:pPr>
      <w:spacing w:after="200" w:line="240" w:lineRule="auto"/>
    </w:pPr>
    <w:rPr>
      <w:kern w:val="0"/>
      <w:sz w:val="20"/>
      <w:szCs w:val="20"/>
      <w:lang w:bidi="ar-SA"/>
      <w14:ligatures w14:val="none"/>
    </w:rPr>
  </w:style>
  <w:style w:type="character" w:customStyle="1" w:styleId="CommentTextChar">
    <w:name w:val="Comment Text Char"/>
    <w:basedOn w:val="DefaultParagraphFont"/>
    <w:link w:val="CommentText"/>
    <w:uiPriority w:val="99"/>
    <w:rsid w:val="00981824"/>
    <w:rPr>
      <w:kern w:val="0"/>
      <w:sz w:val="20"/>
      <w:szCs w:val="20"/>
      <w:lang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42757">
      <w:bodyDiv w:val="1"/>
      <w:marLeft w:val="0"/>
      <w:marRight w:val="0"/>
      <w:marTop w:val="0"/>
      <w:marBottom w:val="0"/>
      <w:divBdr>
        <w:top w:val="none" w:sz="0" w:space="0" w:color="auto"/>
        <w:left w:val="none" w:sz="0" w:space="0" w:color="auto"/>
        <w:bottom w:val="none" w:sz="0" w:space="0" w:color="auto"/>
        <w:right w:val="none" w:sz="0" w:space="0" w:color="auto"/>
      </w:divBdr>
    </w:div>
    <w:div w:id="177682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dow.com/en-us/"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ow.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DowThailandGrou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th.dow.com/en-u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cgchemicals.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5857A-F3F7-44C5-BF4B-69F4B11BA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1018</Words>
  <Characters>5804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Manatcha Raksamata</cp:lastModifiedBy>
  <cp:revision>13</cp:revision>
  <cp:lastPrinted>2024-01-24T13:35:00Z</cp:lastPrinted>
  <dcterms:created xsi:type="dcterms:W3CDTF">2024-05-16T15:59:00Z</dcterms:created>
  <dcterms:modified xsi:type="dcterms:W3CDTF">2024-05-16T16:11:00Z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d92ef854bd2840b8dac4a6b27daf0a473873652deab95509fb6d5ddb64690c93</vt:lpwstr>
  </property>
  <property fmtid="{D5CDD505-2E9C-101B-9397-08002B2CF9AE}" pid="3" name="MSIP_Label_282ec11f-0307-4ba2-9c7f-1e910abb2b8a_Enabled">
    <vt:lpwstr>true</vt:lpwstr>
  </property>
  <property fmtid="{D5CDD505-2E9C-101B-9397-08002B2CF9AE}" pid="4" name="MSIP_Label_282ec11f-0307-4ba2-9c7f-1e910abb2b8a_SetDate">
    <vt:lpwstr>2024-02-27T04:10:59Z</vt:lpwstr>
  </property>
  <property fmtid="{D5CDD505-2E9C-101B-9397-08002B2CF9AE}" pid="5" name="MSIP_Label_282ec11f-0307-4ba2-9c7f-1e910abb2b8a_Method">
    <vt:lpwstr>Standard</vt:lpwstr>
  </property>
  <property fmtid="{D5CDD505-2E9C-101B-9397-08002B2CF9AE}" pid="6" name="MSIP_Label_282ec11f-0307-4ba2-9c7f-1e910abb2b8a_Name">
    <vt:lpwstr>282ec11f-0307-4ba2-9c7f-1e910abb2b8a</vt:lpwstr>
  </property>
  <property fmtid="{D5CDD505-2E9C-101B-9397-08002B2CF9AE}" pid="7" name="MSIP_Label_282ec11f-0307-4ba2-9c7f-1e910abb2b8a_SiteId">
    <vt:lpwstr>5db8bf0e-8592-4ed0-82b2-a6d4d77933d4</vt:lpwstr>
  </property>
  <property fmtid="{D5CDD505-2E9C-101B-9397-08002B2CF9AE}" pid="8" name="MSIP_Label_282ec11f-0307-4ba2-9c7f-1e910abb2b8a_ActionId">
    <vt:lpwstr>48853c93-d980-4dda-a720-8ec09a4a532e</vt:lpwstr>
  </property>
  <property fmtid="{D5CDD505-2E9C-101B-9397-08002B2CF9AE}" pid="9" name="MSIP_Label_282ec11f-0307-4ba2-9c7f-1e910abb2b8a_ContentBits">
    <vt:lpwstr>0</vt:lpwstr>
  </property>
</Properties>
</file>